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3A5D10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2860BD">
            <w:pPr>
              <w:ind w:left="5669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rPr>
                <w:b/>
                <w:i/>
                <w:sz w:val="20"/>
                <w:u w:val="thick"/>
              </w:rPr>
            </w:pPr>
          </w:p>
          <w:p w:rsidR="00A77B3E" w:rsidRDefault="002860BD">
            <w:pPr>
              <w:ind w:left="5669"/>
              <w:rPr>
                <w:sz w:val="20"/>
              </w:rPr>
            </w:pPr>
            <w:r>
              <w:rPr>
                <w:sz w:val="20"/>
              </w:rPr>
              <w:t>z dnia  17 listopada 2021 r.</w:t>
            </w:r>
          </w:p>
          <w:p w:rsidR="00A77B3E" w:rsidRDefault="002860BD">
            <w:pPr>
              <w:ind w:left="5669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rPr>
                <w:sz w:val="20"/>
              </w:rPr>
            </w:pPr>
          </w:p>
          <w:p w:rsidR="00A77B3E" w:rsidRDefault="00A77B3E">
            <w:pPr>
              <w:ind w:left="5669"/>
              <w:rPr>
                <w:sz w:val="20"/>
              </w:rPr>
            </w:pPr>
          </w:p>
        </w:tc>
      </w:tr>
    </w:tbl>
    <w:p w:rsidR="00A77B3E" w:rsidRDefault="00A77B3E"/>
    <w:p w:rsidR="00A77B3E" w:rsidRDefault="002860B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:rsidR="00A77B3E" w:rsidRDefault="002860BD">
      <w:pPr>
        <w:spacing w:before="280" w:after="280" w:line="276" w:lineRule="auto"/>
        <w:jc w:val="center"/>
        <w:rPr>
          <w:b/>
          <w:caps/>
        </w:rPr>
      </w:pPr>
      <w:r>
        <w:t>z dnia .................... 2021 r.</w:t>
      </w:r>
    </w:p>
    <w:p w:rsidR="00A77B3E" w:rsidRDefault="002860BD">
      <w:pPr>
        <w:keepNext/>
        <w:spacing w:after="480" w:line="276" w:lineRule="auto"/>
        <w:jc w:val="center"/>
      </w:pPr>
      <w:r>
        <w:rPr>
          <w:b/>
        </w:rPr>
        <w:t xml:space="preserve">w sprawie określenia wysokości stawek podatku od </w:t>
      </w:r>
      <w:r>
        <w:rPr>
          <w:b/>
        </w:rPr>
        <w:t>nieruchomości</w:t>
      </w:r>
    </w:p>
    <w:p w:rsidR="00A77B3E" w:rsidRDefault="002860BD">
      <w:pPr>
        <w:keepLines/>
        <w:spacing w:before="120" w:after="120" w:line="276" w:lineRule="auto"/>
        <w:ind w:firstLine="227"/>
      </w:pPr>
      <w:r>
        <w:t>Na podstawie art. 18 ust. 2 pkt 8, art. 40 ust. 1, ustawy z dnia 8 marca 1990 r. o samorządzie gminnym (</w:t>
      </w:r>
      <w:proofErr w:type="spellStart"/>
      <w:r>
        <w:t>t.j</w:t>
      </w:r>
      <w:proofErr w:type="spellEnd"/>
      <w:r>
        <w:t>. Dz. U. z 2021 r. poz. 1372, poz. 1834) i art. 5 ust. 1 ustawy z dnia 12 stycznia 1991 r. o podatkach i opłatach lokalnych (</w:t>
      </w:r>
      <w:proofErr w:type="spellStart"/>
      <w:r>
        <w:t>t.j</w:t>
      </w:r>
      <w:proofErr w:type="spellEnd"/>
      <w:r>
        <w:t>. Dz. U</w:t>
      </w:r>
      <w:r>
        <w:t>. z 2019 r. poz. 1170, z 2021 r. poz. 401, poz. 1558) Rada Miejska Tomaszowa Mazowieckiego uchwala, co następuje:</w:t>
      </w:r>
    </w:p>
    <w:p w:rsidR="00A77B3E" w:rsidRDefault="002860BD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Określa się następujące stawki podatku od nieruchomości obowiązujące na terenie Gminy Miasto Tomaszów Mazowiecki:</w:t>
      </w:r>
    </w:p>
    <w:p w:rsidR="00A77B3E" w:rsidRDefault="002860BD">
      <w:pPr>
        <w:spacing w:before="120" w:after="120" w:line="276" w:lineRule="auto"/>
        <w:ind w:left="340" w:hanging="227"/>
      </w:pPr>
      <w:r>
        <w:t>1) </w:t>
      </w:r>
      <w:r>
        <w:t>od gruntów: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t>związanych z prowadzeniem działalności gospodarczej, bez względu na sposób sklasyfikowania w ewidencji gruntów i budynków - 1,02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i zbiorników </w:t>
      </w:r>
      <w:r>
        <w:rPr>
          <w:color w:val="000000"/>
          <w:u w:color="000000"/>
        </w:rPr>
        <w:t>sztucznych - 4,36 zł od 1 ha powierzchni,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- 0,46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niezabudowanych objętych obszarem rewitali</w:t>
      </w:r>
      <w:r>
        <w:rPr>
          <w:color w:val="000000"/>
          <w:u w:color="000000"/>
        </w:rPr>
        <w:t>zacji, o których mowa w ustawie z dnia 9 października 2015 r. o rewitalizacji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2021 r. poz. 485) i położonych na terenach, dla których miejscowy plan zagospodarowania przestrzennego przewiduje przeznaczenie pod zabudowę mieszkaniową, usługową </w:t>
      </w:r>
      <w:r>
        <w:rPr>
          <w:color w:val="000000"/>
          <w:u w:color="000000"/>
        </w:rPr>
        <w:t>albo zabudowę o przeznaczeniu mieszanym obejmującym wyłącznie te rodzaje zabudowy, jeżeli od dnia wejścia w życie tego planu w odniesieniu do tych gruntów upłynął okres 4 lat, a w tym czasie nie zakończono budowy zgodnie z przepisami prawa budowlanego - 2,</w:t>
      </w:r>
      <w:r>
        <w:rPr>
          <w:color w:val="000000"/>
          <w:u w:color="000000"/>
        </w:rPr>
        <w:t>72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powierzchni.</w:t>
      </w:r>
    </w:p>
    <w:p w:rsidR="00A77B3E" w:rsidRDefault="002860B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- 0,82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budynków mieszkalnych lub ich części zajętych na prowadzenie działalności gospoda</w:t>
      </w:r>
      <w:r>
        <w:rPr>
          <w:color w:val="000000"/>
          <w:u w:color="000000"/>
        </w:rPr>
        <w:t>rczej - 23,50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 z tym, że:</w:t>
      </w:r>
    </w:p>
    <w:p w:rsidR="00A77B3E" w:rsidRDefault="002860B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od budynków lub ich części związanych z prowadzeniem działalności gospodarczej oraz budynków mieszkalnych lub ich części zajętych na prowadzenie działalności gospodarczej o powierzchni do 50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w</w:t>
      </w:r>
      <w:r>
        <w:rPr>
          <w:color w:val="000000"/>
          <w:u w:color="000000"/>
        </w:rPr>
        <w:t>łącznie - 19,80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2860B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budynków lub ich części związanych z prowadzeniem działalności gospodarczej oraz budynków mieszkalnych lub ich części zajętych na prowadzenie działalności gospodarczej o powierzchni powyżej 50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do 10</w:t>
      </w:r>
      <w:r>
        <w:rPr>
          <w:color w:val="000000"/>
          <w:u w:color="000000"/>
        </w:rPr>
        <w:t>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włącznie - 20,95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2860B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budynków lub ich części o powierzchni ponad 500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związanych z prowadzeniem działalności gospodarczej handlowej detalicznej spożywczej i spożywczo - przemysłowej - 25,47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</w:t>
      </w:r>
      <w:r>
        <w:rPr>
          <w:color w:val="000000"/>
          <w:u w:color="000000"/>
        </w:rPr>
        <w:t>żytkowej,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- 8,17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związanych z udzielaniem świadczeń zdrowotnych w rozumieniu przepisów o działalności leczniczej, </w:t>
      </w:r>
      <w:r>
        <w:rPr>
          <w:color w:val="000000"/>
          <w:u w:color="000000"/>
        </w:rPr>
        <w:t>zajętych przez podmioty udzielające tych świadczeń - 5,25 zł os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2860B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od pozostałych, w tym zajętych na prowadzenie odpłatnej statutowej działalności pożytku publicznego przez organizacje pożytku publicznego - 5,95 zł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</w:t>
      </w:r>
      <w:r>
        <w:rPr>
          <w:color w:val="000000"/>
          <w:u w:color="000000"/>
        </w:rPr>
        <w:t>rzchni użytkowej, z wyjątkiem:</w:t>
      </w:r>
    </w:p>
    <w:p w:rsidR="00A77B3E" w:rsidRDefault="002860B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garaży, dla których stawka wynosi - 7,25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użytkowej,</w:t>
      </w:r>
    </w:p>
    <w:p w:rsidR="00A77B3E" w:rsidRDefault="002860BD">
      <w:pPr>
        <w:keepLines/>
        <w:spacing w:before="120" w:after="120" w:line="276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budynków letniskowych, dla których stawka wynosi - 8,20 od 1 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powierzchni użytkowej.</w:t>
      </w:r>
    </w:p>
    <w:p w:rsidR="00A77B3E" w:rsidRDefault="002860B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2% ich wartości określonej na podstawie art. 4 </w:t>
      </w:r>
      <w:r>
        <w:rPr>
          <w:color w:val="000000"/>
          <w:u w:color="000000"/>
        </w:rPr>
        <w:t>ust. 1 pkt 3 i ust. 3-7 ustawy o podatkach i opłatach lokalnych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2019 r. poz. 1170, z 2021 r. poz. 401, poz. 1558).</w:t>
      </w:r>
    </w:p>
    <w:p w:rsidR="00A77B3E" w:rsidRDefault="002860B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Prezydentowi Miasta Tomaszowa Mazowieckiego.</w:t>
      </w:r>
    </w:p>
    <w:p w:rsidR="00A77B3E" w:rsidRDefault="002860B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XX/168/2019 Rady Mi</w:t>
      </w:r>
      <w:r>
        <w:rPr>
          <w:color w:val="000000"/>
          <w:u w:color="000000"/>
        </w:rPr>
        <w:t>ejskiej Tomaszowa Mazowieckiego z dnia 28 listopada 2019 r. w sprawie określenia wysokości stawek podatku od nieruchomości (Dziennik Urzędowy Województwa Łódzkiego poz. 7116).</w:t>
      </w:r>
    </w:p>
    <w:p w:rsidR="00A77B3E" w:rsidRDefault="002860BD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Łódzkiego i wchodzi w życie z dniem 1 stycznia 2022 r.</w:t>
      </w:r>
    </w:p>
    <w:p w:rsidR="003A5D10" w:rsidRDefault="003A5D10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A5D10" w:rsidRDefault="002860BD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A5D10" w:rsidRDefault="003A5D10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A5D10" w:rsidRDefault="002860BD">
      <w:pPr>
        <w:keepNext/>
        <w:spacing w:after="48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 xml:space="preserve">w sprawie określenia wysokości stawek </w:t>
      </w:r>
      <w:r>
        <w:rPr>
          <w:rFonts w:eastAsia="Times New Roman" w:cs="Times New Roman"/>
          <w:b/>
          <w:color w:val="000000"/>
          <w:szCs w:val="20"/>
          <w:shd w:val="clear" w:color="auto" w:fill="FFFFFF"/>
          <w:lang w:val="x-none" w:eastAsia="en-US" w:bidi="ar-SA"/>
        </w:rPr>
        <w:t>podatku od nieruchomości</w:t>
      </w:r>
    </w:p>
    <w:p w:rsidR="003A5D10" w:rsidRDefault="002860BD">
      <w:pPr>
        <w:keepNext/>
        <w:spacing w:after="480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Wpływy z tytułu podatku od nieruchomości mają największe znaczenie dla poziomu dochodów własnych Gminy. Na podstawie art 5 ust 1 ustawy z dnia 12 stycznia 1991r. o podatkach i opłatach lokalnych, Rada Gminy jest zobowiązana do okre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ślenia wysokości stawek podatku od nieruchomości.</w:t>
      </w:r>
    </w:p>
    <w:p w:rsidR="003A5D10" w:rsidRDefault="002860BD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Stawki określane przez Radę nie mogą przekroczyć stawek maksymalnych ustalonych w/w ustawą. Górne granice stawek kwotowych obowiązujące w danym roku podatkowym ulegają corocznie zmianie na następny rok poda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tkowy. Zmiana ta na 2021r. odpowiada wskaźnikowi cen towarów i usług konsumpcyjnych w okresie pierwszego półrocza 2020r., w stosunku do analogicznego okresu roku poprzedniego.</w:t>
      </w:r>
    </w:p>
    <w:p w:rsidR="003A5D10" w:rsidRDefault="002860BD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Zgodnie z Komunikatem Prezesa Głównego Urzędu Statystycznego z dnia 20 lipca 202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1r. opublikowanym w Monitorze Polskim 2021r. poz. 660, wskaźnik cen towarów i usług konsumpcyjnych w I półroczu 2021r. w stosunku do I półrocza 2020r. wyniósł 103,6 (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wzrost cen o 3,6%).</w:t>
      </w:r>
    </w:p>
    <w:p w:rsidR="003A5D10" w:rsidRDefault="003A5D10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A5D10" w:rsidRDefault="002860BD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 związku z powyższym proponuje się podwyższenie stawek podatkowych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dla wszystkich rodzajów przedmiotów opodatkowania. Konieczność podwyższenia stawek wynika z potrzeby pozyskania środków finansowych na planowane zadania inwestycyjne na terenie miasta. Nadmienić należy, iż obecnie stosowane stawki podatkowe obowiązują od 2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020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r. Przy ustalaniu stawek podatkowych wzięto również pod uwagę rosnący poziom inflacji, która na dzień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16.11.2021 r.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wynosi 6,8%</w:t>
      </w:r>
      <w:bookmarkStart w:id="0" w:name="_GoBack"/>
      <w:bookmarkEnd w:id="0"/>
    </w:p>
    <w:p w:rsidR="003A5D10" w:rsidRDefault="002860BD">
      <w:pPr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Szacuje się, że dochody miasta Tomaszowa Mazowieckiego w roku 2022 z tytułu podatku od nieruchomości, przy zastosowaniu pro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ponowanych stawek, zwiększą się o ok.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2.720.000,00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:rsidR="003A5D10" w:rsidRDefault="003A5D10">
      <w:pPr>
        <w:spacing w:after="480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A5D10" w:rsidRDefault="003A5D10">
      <w:pPr>
        <w:keepLines/>
        <w:spacing w:before="120" w:after="120"/>
        <w:ind w:firstLine="22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:rsidR="003A5D10" w:rsidRDefault="003A5D10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3A5D1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0BD" w:rsidRDefault="002860BD">
      <w:r>
        <w:separator/>
      </w:r>
    </w:p>
  </w:endnote>
  <w:endnote w:type="continuationSeparator" w:id="0">
    <w:p w:rsidR="002860BD" w:rsidRDefault="0028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3A5D1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5D10" w:rsidRDefault="002860BD">
          <w:pPr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4A5CF666-907A-4E56-8488-6DAC6722B496.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5D10" w:rsidRDefault="002860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93914">
            <w:rPr>
              <w:sz w:val="18"/>
            </w:rPr>
            <w:fldChar w:fldCharType="separate"/>
          </w:r>
          <w:r w:rsidR="008939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A5D10" w:rsidRDefault="003A5D1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3A5D10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5D10" w:rsidRDefault="002860BD">
          <w:pPr>
            <w:rPr>
              <w:sz w:val="18"/>
            </w:rPr>
          </w:pPr>
          <w:r>
            <w:rPr>
              <w:sz w:val="18"/>
            </w:rPr>
            <w:t>Id: 4A5CF666-907A-4E56-8488-6DAC6722B496.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A5D10" w:rsidRDefault="002860B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93914">
            <w:rPr>
              <w:sz w:val="18"/>
            </w:rPr>
            <w:fldChar w:fldCharType="separate"/>
          </w:r>
          <w:r w:rsidR="0089391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A5D10" w:rsidRDefault="003A5D1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0BD" w:rsidRDefault="002860BD">
      <w:r>
        <w:separator/>
      </w:r>
    </w:p>
  </w:footnote>
  <w:footnote w:type="continuationSeparator" w:id="0">
    <w:p w:rsidR="002860BD" w:rsidRDefault="0028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60BD"/>
    <w:rsid w:val="003A5D10"/>
    <w:rsid w:val="0089391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87DA7"/>
  <w15:docId w15:val="{46C690A2-ECB6-4A51-931C-E05E0A69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wysokości stawek podatku od nieruchomości</dc:subject>
  <dc:creator>mbakowska</dc:creator>
  <cp:lastModifiedBy>Bogusława Smejda</cp:lastModifiedBy>
  <cp:revision>3</cp:revision>
  <dcterms:created xsi:type="dcterms:W3CDTF">2021-11-17T11:27:00Z</dcterms:created>
  <dcterms:modified xsi:type="dcterms:W3CDTF">2021-11-17T16:19:00Z</dcterms:modified>
  <cp:category>Akt prawny</cp:category>
</cp:coreProperties>
</file>